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21B" w:rsidRPr="006E3FB4" w:rsidRDefault="0036321B" w:rsidP="0036321B">
      <w:pPr>
        <w:pStyle w:val="Encabezado"/>
        <w:tabs>
          <w:tab w:val="left" w:pos="2805"/>
        </w:tabs>
        <w:spacing w:after="0"/>
        <w:jc w:val="right"/>
        <w:rPr>
          <w:rFonts w:ascii="Book Antiqua" w:hAnsi="Book Antiqua" w:cs="Bookman Old Style"/>
          <w:b/>
          <w:bCs/>
          <w:u w:val="single"/>
          <w:lang w:val="pt-BR" w:eastAsia="es-ES"/>
        </w:rPr>
      </w:pPr>
      <w:r w:rsidRPr="006E3FB4">
        <w:rPr>
          <w:rFonts w:ascii="Book Antiqua" w:hAnsi="Book Antiqua" w:cs="Times New Roman"/>
          <w:b/>
          <w:bCs/>
          <w:noProof/>
          <w:lang w:eastAsia="es-ES"/>
        </w:rPr>
        <w:tab/>
      </w:r>
      <w:r w:rsidRPr="006E3FB4">
        <w:rPr>
          <w:rFonts w:ascii="Book Antiqua" w:hAnsi="Book Antiqua" w:cs="Bookman Old Style"/>
          <w:b/>
          <w:bCs/>
          <w:u w:val="single"/>
          <w:lang w:val="pt-BR" w:eastAsia="es-ES"/>
        </w:rPr>
        <w:t xml:space="preserve">RES.DIR. Nº </w:t>
      </w:r>
      <w:r w:rsidR="00BC782A" w:rsidRPr="006E3FB4">
        <w:rPr>
          <w:rFonts w:ascii="Book Antiqua" w:hAnsi="Book Antiqua" w:cs="Bookman Old Style"/>
          <w:b/>
          <w:bCs/>
          <w:u w:val="single"/>
          <w:lang w:val="pt-BR" w:eastAsia="es-ES"/>
        </w:rPr>
        <w:t>1</w:t>
      </w:r>
      <w:r w:rsidR="007C43D9" w:rsidRPr="006E3FB4">
        <w:rPr>
          <w:rFonts w:ascii="Book Antiqua" w:hAnsi="Book Antiqua" w:cs="Bookman Old Style"/>
          <w:b/>
          <w:bCs/>
          <w:u w:val="single"/>
          <w:lang w:val="pt-BR" w:eastAsia="es-ES"/>
        </w:rPr>
        <w:t>081</w:t>
      </w:r>
      <w:r w:rsidRPr="006E3FB4">
        <w:rPr>
          <w:rFonts w:ascii="Book Antiqua" w:hAnsi="Book Antiqua" w:cs="Bookman Old Style"/>
          <w:b/>
          <w:bCs/>
          <w:u w:val="single"/>
          <w:lang w:val="pt-BR" w:eastAsia="es-ES"/>
        </w:rPr>
        <w:t>/1</w:t>
      </w:r>
      <w:r w:rsidR="00220D79" w:rsidRPr="006E3FB4">
        <w:rPr>
          <w:rFonts w:ascii="Book Antiqua" w:hAnsi="Book Antiqua" w:cs="Bookman Old Style"/>
          <w:b/>
          <w:bCs/>
          <w:u w:val="single"/>
          <w:lang w:val="pt-BR" w:eastAsia="es-ES"/>
        </w:rPr>
        <w:t>9</w:t>
      </w:r>
      <w:r w:rsidRPr="006E3FB4">
        <w:rPr>
          <w:rFonts w:ascii="Book Antiqua" w:hAnsi="Book Antiqua" w:cs="Bookman Old Style"/>
          <w:b/>
          <w:bCs/>
          <w:u w:val="single"/>
          <w:lang w:val="pt-BR" w:eastAsia="es-ES"/>
        </w:rPr>
        <w:t xml:space="preserve"> - Acta Nº </w:t>
      </w:r>
      <w:r w:rsidR="00BC782A" w:rsidRPr="006E3FB4">
        <w:rPr>
          <w:rFonts w:ascii="Book Antiqua" w:hAnsi="Book Antiqua" w:cs="Bookman Old Style"/>
          <w:b/>
          <w:bCs/>
          <w:u w:val="single"/>
          <w:lang w:val="pt-BR" w:eastAsia="es-ES"/>
        </w:rPr>
        <w:t>2</w:t>
      </w:r>
      <w:r w:rsidR="007C43D9" w:rsidRPr="006E3FB4">
        <w:rPr>
          <w:rFonts w:ascii="Book Antiqua" w:hAnsi="Book Antiqua" w:cs="Bookman Old Style"/>
          <w:b/>
          <w:bCs/>
          <w:u w:val="single"/>
          <w:lang w:val="pt-BR" w:eastAsia="es-ES"/>
        </w:rPr>
        <w:t>82</w:t>
      </w:r>
    </w:p>
    <w:p w:rsidR="0036321B" w:rsidRPr="006E3FB4" w:rsidRDefault="0036321B" w:rsidP="0036321B">
      <w:pPr>
        <w:spacing w:after="0" w:line="240" w:lineRule="auto"/>
        <w:jc w:val="right"/>
        <w:rPr>
          <w:rFonts w:ascii="Book Antiqua" w:hAnsi="Book Antiqua" w:cs="Bookman Old Style"/>
          <w:lang w:eastAsia="es-ES"/>
        </w:rPr>
      </w:pPr>
      <w:r w:rsidRPr="006E3FB4">
        <w:rPr>
          <w:rFonts w:ascii="Book Antiqua" w:hAnsi="Book Antiqua" w:cs="Bookman Old Style"/>
          <w:lang w:val="pt-BR" w:eastAsia="es-ES"/>
        </w:rPr>
        <w:tab/>
      </w:r>
      <w:r w:rsidRPr="006E3FB4">
        <w:rPr>
          <w:rFonts w:ascii="Book Antiqua" w:hAnsi="Book Antiqua" w:cs="Bookman Old Style"/>
          <w:lang w:val="pt-BR" w:eastAsia="es-ES"/>
        </w:rPr>
        <w:tab/>
      </w:r>
      <w:r w:rsidRPr="006E3FB4">
        <w:rPr>
          <w:rFonts w:ascii="Book Antiqua" w:hAnsi="Book Antiqua" w:cs="Bookman Old Style"/>
          <w:lang w:val="pt-BR" w:eastAsia="es-ES"/>
        </w:rPr>
        <w:tab/>
      </w:r>
      <w:r w:rsidR="007C43D9" w:rsidRPr="006E3FB4">
        <w:rPr>
          <w:rFonts w:ascii="Book Antiqua" w:hAnsi="Book Antiqua" w:cs="Bookman Old Style"/>
          <w:lang w:val="pt-BR" w:eastAsia="es-ES"/>
        </w:rPr>
        <w:t>Paraná</w:t>
      </w:r>
      <w:r w:rsidRPr="006E3FB4">
        <w:rPr>
          <w:rFonts w:ascii="Book Antiqua" w:hAnsi="Book Antiqua" w:cs="Bookman Old Style"/>
          <w:lang w:val="pt-BR" w:eastAsia="es-ES"/>
        </w:rPr>
        <w:t xml:space="preserve">, </w:t>
      </w:r>
      <w:r w:rsidR="007C43D9" w:rsidRPr="006E3FB4">
        <w:rPr>
          <w:rFonts w:ascii="Book Antiqua" w:hAnsi="Book Antiqua" w:cs="Bookman Old Style"/>
          <w:lang w:val="pt-BR" w:eastAsia="es-ES"/>
        </w:rPr>
        <w:t xml:space="preserve">20 de </w:t>
      </w:r>
      <w:proofErr w:type="spellStart"/>
      <w:r w:rsidR="007C43D9" w:rsidRPr="006E3FB4">
        <w:rPr>
          <w:rFonts w:ascii="Book Antiqua" w:hAnsi="Book Antiqua" w:cs="Bookman Old Style"/>
          <w:lang w:val="pt-BR" w:eastAsia="es-ES"/>
        </w:rPr>
        <w:t>diciembre</w:t>
      </w:r>
      <w:proofErr w:type="spellEnd"/>
      <w:r w:rsidRPr="006E3FB4">
        <w:rPr>
          <w:rFonts w:ascii="Book Antiqua" w:hAnsi="Book Antiqua" w:cs="Bookman Old Style"/>
          <w:lang w:val="pt-BR" w:eastAsia="es-ES"/>
        </w:rPr>
        <w:t xml:space="preserve"> de 201</w:t>
      </w:r>
      <w:r w:rsidR="00220D79" w:rsidRPr="006E3FB4">
        <w:rPr>
          <w:rFonts w:ascii="Book Antiqua" w:hAnsi="Book Antiqua" w:cs="Bookman Old Style"/>
          <w:lang w:val="pt-BR" w:eastAsia="es-ES"/>
        </w:rPr>
        <w:t>9</w:t>
      </w:r>
    </w:p>
    <w:p w:rsidR="0036321B" w:rsidRPr="006E3FB4" w:rsidRDefault="0036321B" w:rsidP="00AF3896">
      <w:pPr>
        <w:pStyle w:val="Sinespaciado"/>
        <w:ind w:firstLine="708"/>
        <w:rPr>
          <w:rFonts w:ascii="Book Antiqua" w:hAnsi="Book Antiqua" w:cs="Bookman Old Style"/>
          <w:u w:val="single"/>
          <w:lang w:val="es-ES_tradnl" w:eastAsia="es-ES"/>
        </w:rPr>
      </w:pPr>
    </w:p>
    <w:p w:rsidR="000656F6" w:rsidRPr="006E3FB4" w:rsidRDefault="000656F6" w:rsidP="00AF3896">
      <w:pPr>
        <w:pStyle w:val="Sinespaciado"/>
        <w:ind w:firstLine="708"/>
        <w:rPr>
          <w:rFonts w:ascii="Book Antiqua" w:hAnsi="Book Antiqua" w:cs="Bookman Old Style"/>
          <w:u w:val="single"/>
          <w:lang w:val="es-ES_tradnl" w:eastAsia="es-ES"/>
        </w:rPr>
      </w:pPr>
      <w:r w:rsidRPr="006E3FB4">
        <w:rPr>
          <w:rFonts w:ascii="Book Antiqua" w:hAnsi="Book Antiqua" w:cs="Bookman Old Style"/>
          <w:u w:val="single"/>
          <w:lang w:val="es-ES_tradnl" w:eastAsia="es-ES"/>
        </w:rPr>
        <w:t xml:space="preserve">VISTO </w:t>
      </w:r>
    </w:p>
    <w:p w:rsidR="00722545" w:rsidRPr="006E3FB4" w:rsidRDefault="00722545" w:rsidP="00722545">
      <w:pPr>
        <w:spacing w:before="120" w:after="0" w:line="240" w:lineRule="auto"/>
        <w:ind w:firstLine="709"/>
        <w:jc w:val="both"/>
        <w:rPr>
          <w:rFonts w:ascii="Book Antiqua" w:hAnsi="Book Antiqua" w:cs="Bookman Old Style"/>
          <w:lang w:val="es-ES_tradnl" w:eastAsia="es-ES"/>
        </w:rPr>
      </w:pPr>
      <w:r w:rsidRPr="006E3FB4">
        <w:rPr>
          <w:rFonts w:ascii="Book Antiqua" w:hAnsi="Book Antiqua" w:cs="Bookman Old Style"/>
          <w:lang w:val="es-ES_tradnl" w:eastAsia="es-ES"/>
        </w:rPr>
        <w:t>Las atribuciones que le otorga al Directorio del COPAER la Ley N° 8.801, en particular los incisos h) y o) del artículo 41°, las Resoluciones Nº 389/05,</w:t>
      </w:r>
      <w:r w:rsidR="00BC782A" w:rsidRPr="006E3FB4">
        <w:rPr>
          <w:rFonts w:ascii="Book Antiqua" w:hAnsi="Book Antiqua" w:cs="Bookman Old Style"/>
          <w:lang w:val="es-ES_tradnl" w:eastAsia="es-ES"/>
        </w:rPr>
        <w:t xml:space="preserve"> </w:t>
      </w:r>
      <w:r w:rsidRPr="006E3FB4">
        <w:rPr>
          <w:rFonts w:ascii="Book Antiqua" w:hAnsi="Book Antiqua" w:cs="Bookman Old Style"/>
          <w:lang w:val="es-ES_tradnl" w:eastAsia="es-ES"/>
        </w:rPr>
        <w:t>433/06, 471/08 y 473/</w:t>
      </w:r>
      <w:r w:rsidR="00BC782A" w:rsidRPr="006E3FB4">
        <w:rPr>
          <w:rFonts w:ascii="Book Antiqua" w:hAnsi="Book Antiqua" w:cs="Bookman Old Style"/>
          <w:lang w:val="es-ES_tradnl" w:eastAsia="es-ES"/>
        </w:rPr>
        <w:t>08, 507</w:t>
      </w:r>
      <w:r w:rsidRPr="006E3FB4">
        <w:rPr>
          <w:rFonts w:ascii="Book Antiqua" w:hAnsi="Book Antiqua" w:cs="Bookman Old Style"/>
          <w:lang w:val="es-ES_tradnl" w:eastAsia="es-ES"/>
        </w:rPr>
        <w:t>/09, 537/10, 567/11, 600/12; 628/13, 648/14 y 683/14 y la Ley 10.337; y</w:t>
      </w:r>
    </w:p>
    <w:p w:rsidR="00722545" w:rsidRPr="006E3FB4" w:rsidRDefault="00722545" w:rsidP="000656F6">
      <w:pPr>
        <w:spacing w:before="120" w:after="0" w:line="240" w:lineRule="auto"/>
        <w:ind w:firstLine="708"/>
        <w:jc w:val="both"/>
        <w:rPr>
          <w:rFonts w:ascii="Book Antiqua" w:hAnsi="Book Antiqua" w:cs="Bookman Old Style"/>
          <w:lang w:val="es-ES_tradnl" w:eastAsia="es-ES"/>
        </w:rPr>
      </w:pPr>
    </w:p>
    <w:p w:rsidR="000656F6" w:rsidRPr="006E3FB4" w:rsidRDefault="000656F6" w:rsidP="000656F6">
      <w:pPr>
        <w:spacing w:before="120" w:after="0" w:line="240" w:lineRule="auto"/>
        <w:ind w:firstLine="708"/>
        <w:jc w:val="both"/>
        <w:rPr>
          <w:rFonts w:ascii="Book Antiqua" w:hAnsi="Book Antiqua" w:cs="Bookman Old Style"/>
          <w:u w:val="single"/>
          <w:lang w:val="es-ES_tradnl" w:eastAsia="es-ES"/>
        </w:rPr>
      </w:pPr>
      <w:r w:rsidRPr="006E3FB4">
        <w:rPr>
          <w:rFonts w:ascii="Book Antiqua" w:hAnsi="Book Antiqua" w:cs="Bookman Old Style"/>
          <w:u w:val="single"/>
          <w:lang w:val="es-ES_tradnl" w:eastAsia="es-ES"/>
        </w:rPr>
        <w:t xml:space="preserve">CONSIDERANDO: </w:t>
      </w:r>
    </w:p>
    <w:p w:rsidR="00722545" w:rsidRPr="006E3FB4" w:rsidRDefault="00722545" w:rsidP="00722545">
      <w:pPr>
        <w:tabs>
          <w:tab w:val="left" w:pos="708"/>
          <w:tab w:val="left" w:pos="2977"/>
        </w:tabs>
        <w:spacing w:before="120" w:after="0" w:line="240" w:lineRule="auto"/>
        <w:ind w:firstLine="709"/>
        <w:jc w:val="both"/>
        <w:rPr>
          <w:rFonts w:ascii="Book Antiqua" w:hAnsi="Book Antiqua" w:cs="Bookman Old Style"/>
          <w:lang w:eastAsia="es-ES"/>
        </w:rPr>
      </w:pPr>
      <w:r w:rsidRPr="006E3FB4">
        <w:rPr>
          <w:rFonts w:ascii="Book Antiqua" w:hAnsi="Book Antiqua" w:cs="Bookman Old Style"/>
          <w:lang w:eastAsia="es-ES"/>
        </w:rPr>
        <w:t xml:space="preserve">Que es manifiesta la necesidad de actualización de los aranceles profesionales determinados en la Res. Dir. Nº 683/14, sobre los montos mínimos a percibir como honorarios para las distintas actividades; </w:t>
      </w: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r w:rsidRPr="006E3FB4">
        <w:rPr>
          <w:rFonts w:ascii="Book Antiqua" w:hAnsi="Book Antiqua" w:cs="Bookman Old Style"/>
          <w:lang w:eastAsia="es-ES"/>
        </w:rPr>
        <w:t xml:space="preserve">Que el ejercicio independiente de la profesión debe ser retribuido al profesional por parte del comitente mediante el pago del honorario correspondiente, como expresa el art. 5º de la ley 8.80, </w:t>
      </w: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r w:rsidRPr="006E3FB4">
        <w:rPr>
          <w:rFonts w:ascii="Book Antiqua" w:hAnsi="Book Antiqua" w:cs="Bookman Old Style"/>
          <w:lang w:eastAsia="es-ES"/>
        </w:rPr>
        <w:t>Que la retribución debe ser justa y adecuada en razón del ejercicio y la responsabilidad profesional, y en el contexto de las leyes y reglamentos vigente, siendo necesario que exista una tabla de aranceles y honorarios mínimos, que permita que tanto el profesional como su comitente puede justipreciar el valor de la encomienda profesional;</w:t>
      </w: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r w:rsidRPr="006E3FB4">
        <w:rPr>
          <w:rFonts w:ascii="Book Antiqua" w:hAnsi="Book Antiqua" w:cs="Bookman Old Style"/>
          <w:lang w:eastAsia="es-ES"/>
        </w:rPr>
        <w:t>Que lo indicado en el párrafo anterior se evidencia en el artículo 66 de la Ley 8.801 que define al honorario profesional como “la retribución por el trabajo y la responsabilidad profesional -comprensiva de las responsabilidades civil, técnica y ética- en la ejecución de tareas concretas encomendadas, incluyendo el pago de los gastos generales que corresponden al ejercicio de la profesión…”;</w:t>
      </w: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r w:rsidRPr="006E3FB4">
        <w:rPr>
          <w:rFonts w:ascii="Book Antiqua" w:hAnsi="Book Antiqua" w:cs="Bookman Old Style"/>
          <w:lang w:eastAsia="es-ES"/>
        </w:rPr>
        <w:t xml:space="preserve">Que a partir de la vigencia de la Ley 10.337 los honorarios profesionales han recuperado el carácter de Orden Público. </w:t>
      </w: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r w:rsidRPr="006E3FB4">
        <w:rPr>
          <w:rFonts w:ascii="Book Antiqua" w:hAnsi="Book Antiqua" w:cs="Bookman Old Style"/>
          <w:lang w:eastAsia="es-ES"/>
        </w:rPr>
        <w:t>Que dicho carácter, implica que para la determinación de los Honorarios Profesionales la autonomía de la voluntad de los contratantes queda relegada, al menos en cuanto al monto mínimo, debiendo aplicarse lo dispuesto por la norma dictada por el organismo competente.</w:t>
      </w: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p>
    <w:p w:rsidR="000656F6"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r w:rsidRPr="006E3FB4">
        <w:rPr>
          <w:rFonts w:ascii="Book Antiqua" w:hAnsi="Book Antiqua" w:cs="Bookman Old Style"/>
          <w:lang w:eastAsia="es-ES"/>
        </w:rPr>
        <w:t>Que por aplicación de la citada Ley 10.337 en lo que hace a sus funciones el CoPAER adecuar y/o adoptar el régimen de aranceles y honorarios de acuerdo a las disposiciones de la norma.</w:t>
      </w:r>
    </w:p>
    <w:p w:rsidR="00722545" w:rsidRPr="006E3FB4" w:rsidRDefault="00722545" w:rsidP="00722545">
      <w:pPr>
        <w:tabs>
          <w:tab w:val="left" w:pos="708"/>
          <w:tab w:val="left" w:pos="2977"/>
        </w:tabs>
        <w:spacing w:after="0" w:line="240" w:lineRule="auto"/>
        <w:ind w:firstLine="709"/>
        <w:jc w:val="both"/>
        <w:rPr>
          <w:rFonts w:ascii="Book Antiqua" w:hAnsi="Book Antiqua" w:cs="Bookman Old Style"/>
          <w:lang w:eastAsia="es-ES"/>
        </w:rPr>
      </w:pPr>
    </w:p>
    <w:p w:rsidR="000656F6" w:rsidRPr="006E3FB4" w:rsidRDefault="000656F6" w:rsidP="000656F6">
      <w:pPr>
        <w:spacing w:after="0" w:line="240" w:lineRule="auto"/>
        <w:ind w:firstLine="709"/>
        <w:jc w:val="both"/>
        <w:rPr>
          <w:rFonts w:ascii="Book Antiqua" w:hAnsi="Book Antiqua" w:cs="Bookman Old Style"/>
          <w:b/>
          <w:bCs/>
          <w:lang w:eastAsia="es-ES"/>
        </w:rPr>
      </w:pPr>
      <w:r w:rsidRPr="006E3FB4">
        <w:rPr>
          <w:rFonts w:ascii="Book Antiqua" w:hAnsi="Book Antiqua" w:cs="Bookman Old Style"/>
          <w:u w:val="single"/>
          <w:lang w:eastAsia="es-ES"/>
        </w:rPr>
        <w:t>POR ELLO</w:t>
      </w:r>
      <w:r w:rsidRPr="006E3FB4">
        <w:rPr>
          <w:rFonts w:ascii="Book Antiqua" w:hAnsi="Book Antiqua" w:cs="Bookman Old Style"/>
          <w:b/>
          <w:bCs/>
          <w:lang w:eastAsia="es-ES"/>
        </w:rPr>
        <w:t>:</w:t>
      </w:r>
    </w:p>
    <w:p w:rsidR="000656F6" w:rsidRPr="006E3FB4" w:rsidRDefault="000656F6" w:rsidP="000656F6">
      <w:pPr>
        <w:keepNext/>
        <w:spacing w:after="0" w:line="240" w:lineRule="auto"/>
        <w:ind w:firstLine="684"/>
        <w:jc w:val="center"/>
        <w:outlineLvl w:val="3"/>
        <w:rPr>
          <w:rFonts w:ascii="Book Antiqua" w:hAnsi="Book Antiqua" w:cs="Bookman Old Style"/>
          <w:b/>
          <w:bCs/>
          <w:lang w:val="es-ES_tradnl" w:eastAsia="es-ES"/>
        </w:rPr>
      </w:pPr>
      <w:r w:rsidRPr="006E3FB4">
        <w:rPr>
          <w:rFonts w:ascii="Book Antiqua" w:hAnsi="Book Antiqua" w:cs="Bookman Old Style"/>
          <w:b/>
          <w:bCs/>
          <w:lang w:val="es-ES_tradnl" w:eastAsia="es-ES"/>
        </w:rPr>
        <w:t>EL DIRECTORIO DEL COLEGIO DE PROFESIONALES</w:t>
      </w:r>
    </w:p>
    <w:p w:rsidR="000656F6" w:rsidRPr="006E3FB4" w:rsidRDefault="000656F6" w:rsidP="000656F6">
      <w:pPr>
        <w:keepNext/>
        <w:spacing w:after="0" w:line="240" w:lineRule="auto"/>
        <w:jc w:val="center"/>
        <w:outlineLvl w:val="3"/>
        <w:rPr>
          <w:rFonts w:ascii="Book Antiqua" w:hAnsi="Book Antiqua" w:cs="Bookman Old Style"/>
          <w:b/>
          <w:bCs/>
          <w:lang w:val="es-ES_tradnl" w:eastAsia="es-ES"/>
        </w:rPr>
      </w:pPr>
      <w:r w:rsidRPr="006E3FB4">
        <w:rPr>
          <w:rFonts w:ascii="Book Antiqua" w:hAnsi="Book Antiqua" w:cs="Bookman Old Style"/>
          <w:b/>
          <w:bCs/>
          <w:lang w:val="es-ES_tradnl" w:eastAsia="es-ES"/>
        </w:rPr>
        <w:t>DE LA AGRONOMÍA DE ENTRE RÍOS</w:t>
      </w:r>
    </w:p>
    <w:p w:rsidR="000656F6" w:rsidRPr="006E3FB4" w:rsidRDefault="000656F6" w:rsidP="000656F6">
      <w:pPr>
        <w:keepNext/>
        <w:spacing w:after="0" w:line="240" w:lineRule="auto"/>
        <w:jc w:val="center"/>
        <w:outlineLvl w:val="0"/>
        <w:rPr>
          <w:rFonts w:ascii="Book Antiqua" w:hAnsi="Book Antiqua" w:cs="Bookman Old Style"/>
          <w:b/>
          <w:bCs/>
          <w:u w:val="single"/>
          <w:lang w:val="es-ES_tradnl" w:eastAsia="es-ES"/>
        </w:rPr>
      </w:pPr>
      <w:r w:rsidRPr="006E3FB4">
        <w:rPr>
          <w:rFonts w:ascii="Book Antiqua" w:hAnsi="Book Antiqua" w:cs="Bookman Old Style"/>
          <w:b/>
          <w:bCs/>
          <w:u w:val="single"/>
          <w:lang w:val="es-ES_tradnl" w:eastAsia="es-ES"/>
        </w:rPr>
        <w:t>RESUELVE</w:t>
      </w:r>
    </w:p>
    <w:p w:rsidR="000656F6" w:rsidRPr="006E3FB4" w:rsidRDefault="008B1576" w:rsidP="000656F6">
      <w:pPr>
        <w:spacing w:before="120" w:after="0" w:line="240" w:lineRule="auto"/>
        <w:jc w:val="both"/>
        <w:rPr>
          <w:rFonts w:ascii="Book Antiqua" w:hAnsi="Book Antiqua" w:cs="Bookman Old Style"/>
          <w:lang w:val="es-ES_tradnl" w:eastAsia="es-ES"/>
        </w:rPr>
      </w:pPr>
      <w:r w:rsidRPr="006E3FB4">
        <w:rPr>
          <w:rFonts w:ascii="Book Antiqua" w:hAnsi="Book Antiqua" w:cs="Bookman Old Style"/>
          <w:u w:val="single"/>
          <w:lang w:val="es-ES_tradnl" w:eastAsia="es-ES"/>
        </w:rPr>
        <w:t>Artículo 1º)</w:t>
      </w:r>
      <w:r w:rsidR="000656F6" w:rsidRPr="006E3FB4">
        <w:rPr>
          <w:rFonts w:ascii="Book Antiqua" w:hAnsi="Book Antiqua" w:cs="Bookman Old Style"/>
          <w:lang w:val="es-ES_tradnl" w:eastAsia="es-ES"/>
        </w:rPr>
        <w:t xml:space="preserve"> </w:t>
      </w:r>
      <w:r w:rsidR="00722545" w:rsidRPr="006E3FB4">
        <w:rPr>
          <w:rFonts w:ascii="Book Antiqua" w:hAnsi="Book Antiqua" w:cs="Bookman Old Style"/>
          <w:lang w:val="es-ES_tradnl" w:eastAsia="es-ES"/>
        </w:rPr>
        <w:t xml:space="preserve">Establecer </w:t>
      </w:r>
      <w:r w:rsidR="007C43D9" w:rsidRPr="006E3FB4">
        <w:rPr>
          <w:rFonts w:ascii="Book Antiqua" w:hAnsi="Book Antiqua" w:cs="Bookman Old Style"/>
          <w:lang w:val="es-ES_tradnl" w:eastAsia="es-ES"/>
        </w:rPr>
        <w:t xml:space="preserve">a partir del 23 de diciembre de 2019 </w:t>
      </w:r>
      <w:r w:rsidR="00722545" w:rsidRPr="006E3FB4">
        <w:rPr>
          <w:rFonts w:ascii="Book Antiqua" w:hAnsi="Book Antiqua" w:cs="Bookman Old Style"/>
          <w:lang w:val="es-ES_tradnl" w:eastAsia="es-ES"/>
        </w:rPr>
        <w:t>una actualización de la escala de aranceles y honorarios profesionales, expresado como la mínima retribución justa y adecuada por la realización o ejecución de trabajos o servicios propios de los títulos habilitantes o el ejercicio de alguna de las profesiones comprendidas en la Ley 8.801</w:t>
      </w:r>
      <w:r w:rsidRPr="006E3FB4">
        <w:rPr>
          <w:rFonts w:ascii="Book Antiqua" w:hAnsi="Book Antiqua" w:cs="Bookman Old Style"/>
          <w:lang w:val="es-ES_tradnl" w:eastAsia="es-ES"/>
        </w:rPr>
        <w:t>.</w:t>
      </w:r>
    </w:p>
    <w:p w:rsidR="000656F6" w:rsidRPr="006E3FB4" w:rsidRDefault="000656F6" w:rsidP="000656F6">
      <w:pPr>
        <w:spacing w:after="0" w:line="240" w:lineRule="auto"/>
        <w:jc w:val="both"/>
        <w:rPr>
          <w:rFonts w:ascii="Book Antiqua" w:hAnsi="Book Antiqua" w:cs="Bookman Old Style"/>
          <w:lang w:val="es-ES_tradnl" w:eastAsia="es-ES"/>
        </w:rPr>
      </w:pPr>
    </w:p>
    <w:p w:rsidR="00C264A7" w:rsidRPr="006E3FB4" w:rsidRDefault="00C264A7" w:rsidP="00C264A7">
      <w:pPr>
        <w:tabs>
          <w:tab w:val="left" w:pos="2977"/>
        </w:tabs>
        <w:spacing w:after="0" w:line="240" w:lineRule="auto"/>
        <w:jc w:val="both"/>
        <w:rPr>
          <w:rFonts w:ascii="Book Antiqua" w:hAnsi="Book Antiqua" w:cs="Bookman Old Style"/>
          <w:lang w:eastAsia="es-ES"/>
        </w:rPr>
      </w:pPr>
      <w:r w:rsidRPr="006E3FB4">
        <w:rPr>
          <w:rFonts w:ascii="Book Antiqua" w:hAnsi="Book Antiqua" w:cs="Bookman Old Style"/>
          <w:u w:val="single"/>
          <w:lang w:eastAsia="es-ES"/>
        </w:rPr>
        <w:lastRenderedPageBreak/>
        <w:t>Artículo 2º)</w:t>
      </w:r>
      <w:r w:rsidRPr="006E3FB4">
        <w:rPr>
          <w:rFonts w:ascii="Book Antiqua" w:hAnsi="Book Antiqua" w:cs="Bookman Old Style"/>
          <w:lang w:eastAsia="es-ES"/>
        </w:rPr>
        <w:t xml:space="preserve"> </w:t>
      </w:r>
      <w:r w:rsidR="00722545" w:rsidRPr="006E3FB4">
        <w:rPr>
          <w:rFonts w:ascii="Book Antiqua" w:hAnsi="Book Antiqua" w:cs="Bookman Old Style"/>
          <w:lang w:eastAsia="es-ES"/>
        </w:rPr>
        <w:t xml:space="preserve">Establecer </w:t>
      </w:r>
      <w:r w:rsidR="007C43D9" w:rsidRPr="006E3FB4">
        <w:rPr>
          <w:rFonts w:ascii="Book Antiqua" w:hAnsi="Book Antiqua" w:cs="Bookman Old Style"/>
          <w:lang w:val="es-ES_tradnl" w:eastAsia="es-ES"/>
        </w:rPr>
        <w:t xml:space="preserve">a partir del 23 de diciembre de 2019 </w:t>
      </w:r>
      <w:r w:rsidR="00722545" w:rsidRPr="006E3FB4">
        <w:rPr>
          <w:rFonts w:ascii="Book Antiqua" w:hAnsi="Book Antiqua" w:cs="Bookman Old Style"/>
          <w:lang w:eastAsia="es-ES"/>
        </w:rPr>
        <w:t xml:space="preserve">que la unidad de valuación aplicable a la realización o ejecución de trabajos o servicios agronómicos profesionales, es el AGRO, cuya unidad es equivalente a </w:t>
      </w:r>
      <w:bookmarkStart w:id="0" w:name="_GoBack"/>
      <w:bookmarkEnd w:id="0"/>
      <w:r w:rsidR="00722545" w:rsidRPr="00611AF8">
        <w:rPr>
          <w:rFonts w:ascii="Book Antiqua" w:hAnsi="Book Antiqua" w:cs="Bookman Old Style"/>
          <w:lang w:eastAsia="es-ES"/>
        </w:rPr>
        <w:t xml:space="preserve">pesos </w:t>
      </w:r>
      <w:r w:rsidR="00C56D07" w:rsidRPr="00611AF8">
        <w:rPr>
          <w:rFonts w:ascii="Book Antiqua" w:hAnsi="Book Antiqua" w:cs="Bookman Old Style"/>
          <w:lang w:eastAsia="es-ES"/>
        </w:rPr>
        <w:t>c</w:t>
      </w:r>
      <w:r w:rsidR="00611AF8" w:rsidRPr="00611AF8">
        <w:rPr>
          <w:rFonts w:ascii="Book Antiqua" w:hAnsi="Book Antiqua" w:cs="Bookman Old Style"/>
          <w:lang w:eastAsia="es-ES"/>
        </w:rPr>
        <w:t>incu</w:t>
      </w:r>
      <w:r w:rsidR="00C56D07" w:rsidRPr="00611AF8">
        <w:rPr>
          <w:rFonts w:ascii="Book Antiqua" w:hAnsi="Book Antiqua" w:cs="Bookman Old Style"/>
          <w:lang w:eastAsia="es-ES"/>
        </w:rPr>
        <w:t>enta</w:t>
      </w:r>
      <w:r w:rsidR="00611AF8" w:rsidRPr="00611AF8">
        <w:rPr>
          <w:rFonts w:ascii="Book Antiqua" w:hAnsi="Book Antiqua" w:cs="Bookman Old Style"/>
          <w:lang w:eastAsia="es-ES"/>
        </w:rPr>
        <w:t xml:space="preserve"> y dos</w:t>
      </w:r>
      <w:r w:rsidR="00722545" w:rsidRPr="00611AF8">
        <w:rPr>
          <w:rFonts w:ascii="Book Antiqua" w:hAnsi="Book Antiqua" w:cs="Bookman Old Style"/>
          <w:lang w:eastAsia="es-ES"/>
        </w:rPr>
        <w:t xml:space="preserve"> con </w:t>
      </w:r>
      <w:r w:rsidR="00531D41" w:rsidRPr="00611AF8">
        <w:rPr>
          <w:rFonts w:ascii="Book Antiqua" w:hAnsi="Book Antiqua" w:cs="Bookman Old Style"/>
          <w:lang w:eastAsia="es-ES"/>
        </w:rPr>
        <w:t>cero</w:t>
      </w:r>
      <w:r w:rsidR="00722545" w:rsidRPr="00611AF8">
        <w:rPr>
          <w:rFonts w:ascii="Book Antiqua" w:hAnsi="Book Antiqua" w:cs="Bookman Old Style"/>
          <w:lang w:eastAsia="es-ES"/>
        </w:rPr>
        <w:t xml:space="preserve"> centavos ($</w:t>
      </w:r>
      <w:r w:rsidR="00611AF8" w:rsidRPr="00611AF8">
        <w:rPr>
          <w:rFonts w:ascii="Book Antiqua" w:hAnsi="Book Antiqua" w:cs="Bookman Old Style"/>
          <w:lang w:eastAsia="es-ES"/>
        </w:rPr>
        <w:t>52,00</w:t>
      </w:r>
      <w:r w:rsidR="00722545" w:rsidRPr="00611AF8">
        <w:rPr>
          <w:rFonts w:ascii="Book Antiqua" w:hAnsi="Book Antiqua" w:cs="Bookman Old Style"/>
          <w:lang w:eastAsia="es-ES"/>
        </w:rPr>
        <w:t>).</w:t>
      </w:r>
    </w:p>
    <w:p w:rsidR="00C264A7" w:rsidRPr="006E3FB4" w:rsidRDefault="00C264A7" w:rsidP="00C264A7">
      <w:pPr>
        <w:spacing w:after="0" w:line="240" w:lineRule="auto"/>
        <w:jc w:val="both"/>
        <w:rPr>
          <w:rFonts w:ascii="Book Antiqua" w:hAnsi="Book Antiqua" w:cs="Bookman Old Style"/>
          <w:lang w:val="es-ES_tradnl" w:eastAsia="es-ES"/>
        </w:rPr>
      </w:pPr>
    </w:p>
    <w:p w:rsidR="008B1576" w:rsidRPr="006E3FB4" w:rsidRDefault="008B1576" w:rsidP="008B1576">
      <w:pPr>
        <w:tabs>
          <w:tab w:val="left" w:pos="2977"/>
        </w:tabs>
        <w:spacing w:after="0" w:line="240" w:lineRule="auto"/>
        <w:jc w:val="both"/>
        <w:rPr>
          <w:rFonts w:ascii="Book Antiqua" w:hAnsi="Book Antiqua" w:cs="Bookman Old Style"/>
          <w:lang w:eastAsia="es-ES"/>
        </w:rPr>
      </w:pPr>
      <w:r w:rsidRPr="006E3FB4">
        <w:rPr>
          <w:rFonts w:ascii="Book Antiqua" w:hAnsi="Book Antiqua" w:cs="Bookman Old Style"/>
          <w:u w:val="single"/>
          <w:lang w:eastAsia="es-ES"/>
        </w:rPr>
        <w:t xml:space="preserve">Artículo </w:t>
      </w:r>
      <w:r w:rsidR="00722545" w:rsidRPr="006E3FB4">
        <w:rPr>
          <w:rFonts w:ascii="Book Antiqua" w:hAnsi="Book Antiqua" w:cs="Bookman Old Style"/>
          <w:u w:val="single"/>
          <w:lang w:eastAsia="es-ES"/>
        </w:rPr>
        <w:t>3</w:t>
      </w:r>
      <w:r w:rsidRPr="006E3FB4">
        <w:rPr>
          <w:rFonts w:ascii="Book Antiqua" w:hAnsi="Book Antiqua" w:cs="Bookman Old Style"/>
          <w:u w:val="single"/>
          <w:lang w:eastAsia="es-ES"/>
        </w:rPr>
        <w:t>º)</w:t>
      </w:r>
      <w:r w:rsidRPr="006E3FB4">
        <w:rPr>
          <w:rFonts w:ascii="Book Antiqua" w:hAnsi="Book Antiqua" w:cs="Bookman Old Style"/>
          <w:lang w:eastAsia="es-ES"/>
        </w:rPr>
        <w:t xml:space="preserve"> Registrar, comunicar y cumplido archivar. </w:t>
      </w:r>
    </w:p>
    <w:p w:rsidR="008B1576" w:rsidRPr="006E3FB4" w:rsidRDefault="008B1576" w:rsidP="000656F6">
      <w:pPr>
        <w:spacing w:after="0" w:line="240" w:lineRule="auto"/>
        <w:jc w:val="both"/>
        <w:rPr>
          <w:rFonts w:ascii="Book Antiqua" w:hAnsi="Book Antiqua" w:cs="Bookman Old Style"/>
          <w:lang w:eastAsia="es-ES"/>
        </w:rPr>
      </w:pPr>
    </w:p>
    <w:p w:rsidR="000656F6" w:rsidRPr="006E3FB4" w:rsidRDefault="000656F6" w:rsidP="000656F6">
      <w:pPr>
        <w:spacing w:after="0" w:line="240" w:lineRule="auto"/>
        <w:jc w:val="both"/>
        <w:rPr>
          <w:rFonts w:ascii="Book Antiqua" w:hAnsi="Book Antiqua" w:cs="Bookman Old Style"/>
          <w:lang w:val="es-ES_tradnl" w:eastAsia="es-ES"/>
        </w:rPr>
      </w:pPr>
    </w:p>
    <w:p w:rsidR="0036321B" w:rsidRPr="006E3FB4" w:rsidRDefault="0036321B" w:rsidP="0036321B">
      <w:pPr>
        <w:rPr>
          <w:rFonts w:ascii="Book Antiqua" w:hAnsi="Book Antiqua"/>
          <w:lang w:val="es-ES_tradnl"/>
        </w:rPr>
      </w:pPr>
    </w:p>
    <w:p w:rsidR="0036321B" w:rsidRPr="006E3FB4" w:rsidRDefault="0036321B" w:rsidP="0036321B">
      <w:pPr>
        <w:jc w:val="center"/>
        <w:rPr>
          <w:rFonts w:ascii="Book Antiqua" w:hAnsi="Book Antiqua"/>
        </w:rPr>
      </w:pPr>
    </w:p>
    <w:p w:rsidR="000656F6" w:rsidRPr="006E3FB4" w:rsidRDefault="006E78D3" w:rsidP="000656F6">
      <w:pPr>
        <w:spacing w:after="0" w:line="240" w:lineRule="auto"/>
        <w:jc w:val="both"/>
        <w:rPr>
          <w:rFonts w:ascii="Book Antiqua" w:hAnsi="Book Antiqua" w:cs="Bookman Old Style"/>
          <w:lang w:val="es-ES_tradnl" w:eastAsia="es-ES"/>
        </w:rPr>
      </w:pPr>
      <w:r>
        <w:rPr>
          <w:rFonts w:ascii="Book Antiqua" w:hAnsi="Book Antiqua" w:cs="Bookman Old Style"/>
          <w:noProof/>
          <w:lang w:val="es-ES_tradnl" w:eastAsia="es-ES"/>
        </w:rPr>
        <w:drawing>
          <wp:inline distT="0" distB="0" distL="0" distR="0">
            <wp:extent cx="5621020" cy="184086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1020" cy="1840865"/>
                    </a:xfrm>
                    <a:prstGeom prst="rect">
                      <a:avLst/>
                    </a:prstGeom>
                    <a:noFill/>
                  </pic:spPr>
                </pic:pic>
              </a:graphicData>
            </a:graphic>
          </wp:inline>
        </w:drawing>
      </w:r>
    </w:p>
    <w:p w:rsidR="000656F6" w:rsidRPr="006E3FB4" w:rsidRDefault="000656F6" w:rsidP="000656F6">
      <w:pPr>
        <w:spacing w:after="0" w:line="240" w:lineRule="auto"/>
        <w:jc w:val="both"/>
        <w:rPr>
          <w:rFonts w:ascii="Book Antiqua" w:hAnsi="Book Antiqua" w:cs="Bookman Old Style"/>
          <w:lang w:val="es-ES_tradnl" w:eastAsia="es-ES"/>
        </w:rPr>
      </w:pPr>
    </w:p>
    <w:p w:rsidR="000656F6" w:rsidRPr="006E3FB4" w:rsidRDefault="000656F6" w:rsidP="000656F6">
      <w:pPr>
        <w:spacing w:after="0" w:line="240" w:lineRule="auto"/>
        <w:jc w:val="both"/>
        <w:rPr>
          <w:rFonts w:ascii="Book Antiqua" w:hAnsi="Book Antiqua" w:cs="Bookman Old Style"/>
          <w:lang w:val="es-ES_tradnl" w:eastAsia="es-ES"/>
        </w:rPr>
      </w:pPr>
    </w:p>
    <w:p w:rsidR="000656F6" w:rsidRPr="006E3FB4" w:rsidRDefault="000656F6" w:rsidP="000656F6">
      <w:pPr>
        <w:spacing w:after="0" w:line="240" w:lineRule="auto"/>
        <w:jc w:val="both"/>
        <w:rPr>
          <w:rFonts w:ascii="Book Antiqua" w:hAnsi="Book Antiqua" w:cs="Bookman Old Style"/>
          <w:lang w:val="es-ES_tradnl" w:eastAsia="es-ES"/>
        </w:rPr>
      </w:pPr>
    </w:p>
    <w:p w:rsidR="000656F6" w:rsidRPr="006E3FB4" w:rsidRDefault="000656F6" w:rsidP="000656F6">
      <w:pPr>
        <w:spacing w:after="0" w:line="240" w:lineRule="auto"/>
        <w:jc w:val="both"/>
        <w:rPr>
          <w:rFonts w:ascii="Book Antiqua" w:hAnsi="Book Antiqua"/>
          <w:noProof/>
          <w:lang w:eastAsia="es-ES"/>
        </w:rPr>
      </w:pPr>
    </w:p>
    <w:p w:rsidR="000656F6" w:rsidRPr="006E3FB4" w:rsidRDefault="006E78D3" w:rsidP="000656F6">
      <w:pPr>
        <w:rPr>
          <w:rFonts w:ascii="Book Antiqua" w:hAnsi="Book Antiqua"/>
        </w:rPr>
      </w:pPr>
      <w:r>
        <w:rPr>
          <w:noProof/>
        </w:rPr>
        <w:drawing>
          <wp:anchor distT="0" distB="0" distL="114300" distR="114300" simplePos="0" relativeHeight="251657216" behindDoc="1" locked="0" layoutInCell="1" allowOverlap="1">
            <wp:simplePos x="0" y="0"/>
            <wp:positionH relativeFrom="column">
              <wp:posOffset>1210310</wp:posOffset>
            </wp:positionH>
            <wp:positionV relativeFrom="paragraph">
              <wp:posOffset>5821680</wp:posOffset>
            </wp:positionV>
            <wp:extent cx="5620385" cy="18402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0385" cy="184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6F6" w:rsidRPr="006E3FB4" w:rsidRDefault="000656F6" w:rsidP="000656F6">
      <w:pPr>
        <w:rPr>
          <w:rFonts w:ascii="Book Antiqua" w:hAnsi="Book Antiqua"/>
        </w:rPr>
      </w:pPr>
    </w:p>
    <w:p w:rsidR="00FE7517" w:rsidRPr="006E3FB4" w:rsidRDefault="00FE7517">
      <w:pPr>
        <w:rPr>
          <w:rFonts w:ascii="Book Antiqua" w:hAnsi="Book Antiqua"/>
        </w:rPr>
      </w:pPr>
    </w:p>
    <w:sectPr w:rsidR="00FE7517" w:rsidRPr="006E3FB4" w:rsidSect="00AF3896">
      <w:headerReference w:type="default" r:id="rId9"/>
      <w:pgSz w:w="11906" w:h="16838" w:code="9"/>
      <w:pgMar w:top="1701" w:right="851" w:bottom="425" w:left="1588"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8BA" w:rsidRDefault="00CD38BA" w:rsidP="00AF3896">
      <w:pPr>
        <w:spacing w:after="0" w:line="240" w:lineRule="auto"/>
      </w:pPr>
      <w:r>
        <w:separator/>
      </w:r>
    </w:p>
  </w:endnote>
  <w:endnote w:type="continuationSeparator" w:id="0">
    <w:p w:rsidR="00CD38BA" w:rsidRDefault="00CD38BA" w:rsidP="00A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8BA" w:rsidRDefault="00CD38BA" w:rsidP="00AF3896">
      <w:pPr>
        <w:spacing w:after="0" w:line="240" w:lineRule="auto"/>
      </w:pPr>
      <w:r>
        <w:separator/>
      </w:r>
    </w:p>
  </w:footnote>
  <w:footnote w:type="continuationSeparator" w:id="0">
    <w:p w:rsidR="00CD38BA" w:rsidRDefault="00CD38BA" w:rsidP="00AF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08" w:type="pct"/>
      <w:tblCellMar>
        <w:top w:w="72" w:type="dxa"/>
        <w:left w:w="115" w:type="dxa"/>
        <w:bottom w:w="72" w:type="dxa"/>
        <w:right w:w="115" w:type="dxa"/>
      </w:tblCellMar>
      <w:tblLook w:val="04A0" w:firstRow="1" w:lastRow="0" w:firstColumn="1" w:lastColumn="0" w:noHBand="0" w:noVBand="1"/>
    </w:tblPr>
    <w:tblGrid>
      <w:gridCol w:w="9413"/>
    </w:tblGrid>
    <w:tr w:rsidR="00AF3896" w:rsidTr="00AF3896">
      <w:tc>
        <w:tcPr>
          <w:tcW w:w="5000" w:type="pct"/>
          <w:tcBorders>
            <w:bottom w:val="single" w:sz="4" w:space="0" w:color="auto"/>
          </w:tcBorders>
          <w:vAlign w:val="bottom"/>
        </w:tcPr>
        <w:p w:rsidR="00AF3896" w:rsidRPr="00AF3896" w:rsidRDefault="006E78D3" w:rsidP="00AF3896">
          <w:pPr>
            <w:pStyle w:val="Encabezado"/>
            <w:jc w:val="center"/>
            <w:rPr>
              <w:color w:val="76923C"/>
              <w:sz w:val="24"/>
              <w:szCs w:val="24"/>
            </w:rPr>
          </w:pPr>
          <w:r w:rsidRPr="00164F4B">
            <w:rPr>
              <w:noProof/>
              <w:lang w:val="es-AR" w:eastAsia="es-AR"/>
            </w:rPr>
            <w:drawing>
              <wp:inline distT="0" distB="0" distL="0" distR="0">
                <wp:extent cx="5831205" cy="867410"/>
                <wp:effectExtent l="0" t="0" r="0" b="0"/>
                <wp:docPr id="1" name="Imagen 1" descr="Descripción: Descripción: Descripción: Descripción: C:\Documents and Settings\xx\Configuración local\Archivos temporales de Internet\Content.Outlook\7LK0UZ3B\-membrete_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C:\Documents and Settings\xx\Configuración local\Archivos temporales de Internet\Content.Outlook\7LK0UZ3B\-membrete_gr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205" cy="867410"/>
                        </a:xfrm>
                        <a:prstGeom prst="rect">
                          <a:avLst/>
                        </a:prstGeom>
                        <a:noFill/>
                        <a:ln>
                          <a:noFill/>
                        </a:ln>
                      </pic:spPr>
                    </pic:pic>
                  </a:graphicData>
                </a:graphic>
              </wp:inline>
            </w:drawing>
          </w:r>
        </w:p>
      </w:tc>
    </w:tr>
  </w:tbl>
  <w:p w:rsidR="00AF3896" w:rsidRDefault="00AF3896" w:rsidP="00AF3896">
    <w:pPr>
      <w:pStyle w:val="Encabezado"/>
      <w:tabs>
        <w:tab w:val="clear" w:pos="4419"/>
        <w:tab w:val="clear" w:pos="8838"/>
        <w:tab w:val="left" w:pos="21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F6"/>
    <w:rsid w:val="000656F6"/>
    <w:rsid w:val="000B48B0"/>
    <w:rsid w:val="001307A9"/>
    <w:rsid w:val="00164F1D"/>
    <w:rsid w:val="00164F4B"/>
    <w:rsid w:val="00195E92"/>
    <w:rsid w:val="001B78DE"/>
    <w:rsid w:val="00220D79"/>
    <w:rsid w:val="00243AA3"/>
    <w:rsid w:val="0036321B"/>
    <w:rsid w:val="003827F9"/>
    <w:rsid w:val="0046767F"/>
    <w:rsid w:val="00531D41"/>
    <w:rsid w:val="0058742A"/>
    <w:rsid w:val="00611AF8"/>
    <w:rsid w:val="00641738"/>
    <w:rsid w:val="006E3FB4"/>
    <w:rsid w:val="006E78D3"/>
    <w:rsid w:val="00722545"/>
    <w:rsid w:val="007B179A"/>
    <w:rsid w:val="007B6232"/>
    <w:rsid w:val="007C43D9"/>
    <w:rsid w:val="00864B0C"/>
    <w:rsid w:val="0088297D"/>
    <w:rsid w:val="008B1576"/>
    <w:rsid w:val="00914749"/>
    <w:rsid w:val="00953E46"/>
    <w:rsid w:val="00967866"/>
    <w:rsid w:val="009A2C98"/>
    <w:rsid w:val="009C336D"/>
    <w:rsid w:val="009C6EB2"/>
    <w:rsid w:val="00A1328A"/>
    <w:rsid w:val="00AC47A4"/>
    <w:rsid w:val="00AF3896"/>
    <w:rsid w:val="00B2054A"/>
    <w:rsid w:val="00B838CC"/>
    <w:rsid w:val="00BC782A"/>
    <w:rsid w:val="00C264A7"/>
    <w:rsid w:val="00C56D07"/>
    <w:rsid w:val="00CD38BA"/>
    <w:rsid w:val="00D35074"/>
    <w:rsid w:val="00E511F4"/>
    <w:rsid w:val="00F275FB"/>
    <w:rsid w:val="00F3729E"/>
    <w:rsid w:val="00F56280"/>
    <w:rsid w:val="00F8671C"/>
    <w:rsid w:val="00FC7FD1"/>
    <w:rsid w:val="00FE751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F80EBD7"/>
  <w15:chartTrackingRefBased/>
  <w15:docId w15:val="{365D986A-8FB6-40CD-8A88-152BC401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F6"/>
    <w:pPr>
      <w:spacing w:after="200" w:line="276" w:lineRule="auto"/>
    </w:pPr>
    <w:rPr>
      <w:rFonts w:eastAsia="Times New Roman"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656F6"/>
    <w:pPr>
      <w:spacing w:after="60"/>
      <w:jc w:val="center"/>
      <w:outlineLvl w:val="1"/>
    </w:pPr>
    <w:rPr>
      <w:rFonts w:ascii="Cambria" w:hAnsi="Cambria" w:cs="Times New Roman"/>
      <w:sz w:val="24"/>
      <w:szCs w:val="24"/>
      <w:lang w:val="x-none" w:eastAsia="x-none"/>
    </w:rPr>
  </w:style>
  <w:style w:type="character" w:customStyle="1" w:styleId="SubttuloCar">
    <w:name w:val="Subtítulo Car"/>
    <w:link w:val="Subttulo"/>
    <w:uiPriority w:val="11"/>
    <w:rsid w:val="000656F6"/>
    <w:rPr>
      <w:rFonts w:ascii="Cambria" w:eastAsia="Times New Roman" w:hAnsi="Cambria" w:cs="Times New Roman"/>
      <w:sz w:val="24"/>
      <w:szCs w:val="24"/>
      <w:lang w:val="x-none" w:eastAsia="x-none"/>
    </w:rPr>
  </w:style>
  <w:style w:type="paragraph" w:styleId="Sinespaciado">
    <w:name w:val="No Spacing"/>
    <w:uiPriority w:val="1"/>
    <w:qFormat/>
    <w:rsid w:val="000656F6"/>
    <w:rPr>
      <w:rFonts w:eastAsia="Times New Roman" w:cs="Calibri"/>
      <w:sz w:val="22"/>
      <w:szCs w:val="22"/>
      <w:lang w:eastAsia="en-US"/>
    </w:rPr>
  </w:style>
  <w:style w:type="paragraph" w:styleId="Textodeglobo">
    <w:name w:val="Balloon Text"/>
    <w:basedOn w:val="Normal"/>
    <w:link w:val="TextodegloboCar"/>
    <w:uiPriority w:val="99"/>
    <w:semiHidden/>
    <w:unhideWhenUsed/>
    <w:rsid w:val="00164F1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64F1D"/>
    <w:rPr>
      <w:rFonts w:ascii="Segoe UI" w:eastAsia="Times New Roman" w:hAnsi="Segoe UI" w:cs="Segoe UI"/>
      <w:sz w:val="18"/>
      <w:szCs w:val="18"/>
      <w:lang w:val="es-ES" w:eastAsia="en-US"/>
    </w:rPr>
  </w:style>
  <w:style w:type="paragraph" w:styleId="Encabezado">
    <w:name w:val="header"/>
    <w:basedOn w:val="Normal"/>
    <w:link w:val="EncabezadoCar"/>
    <w:uiPriority w:val="99"/>
    <w:unhideWhenUsed/>
    <w:rsid w:val="00AF3896"/>
    <w:pPr>
      <w:tabs>
        <w:tab w:val="center" w:pos="4419"/>
        <w:tab w:val="right" w:pos="8838"/>
      </w:tabs>
    </w:pPr>
  </w:style>
  <w:style w:type="character" w:customStyle="1" w:styleId="EncabezadoCar">
    <w:name w:val="Encabezado Car"/>
    <w:link w:val="Encabezado"/>
    <w:uiPriority w:val="99"/>
    <w:rsid w:val="00AF3896"/>
    <w:rPr>
      <w:rFonts w:eastAsia="Times New Roman" w:cs="Calibri"/>
      <w:sz w:val="22"/>
      <w:szCs w:val="22"/>
      <w:lang w:val="es-ES" w:eastAsia="en-US"/>
    </w:rPr>
  </w:style>
  <w:style w:type="paragraph" w:styleId="Piedepgina">
    <w:name w:val="footer"/>
    <w:basedOn w:val="Normal"/>
    <w:link w:val="PiedepginaCar"/>
    <w:uiPriority w:val="99"/>
    <w:unhideWhenUsed/>
    <w:rsid w:val="00AF3896"/>
    <w:pPr>
      <w:tabs>
        <w:tab w:val="center" w:pos="4419"/>
        <w:tab w:val="right" w:pos="8838"/>
      </w:tabs>
    </w:pPr>
  </w:style>
  <w:style w:type="character" w:customStyle="1" w:styleId="PiedepginaCar">
    <w:name w:val="Pie de página Car"/>
    <w:link w:val="Piedepgina"/>
    <w:uiPriority w:val="99"/>
    <w:rsid w:val="00AF3896"/>
    <w:rPr>
      <w:rFonts w:eastAsia="Times New Roman"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0C12-2DE4-44EB-B8BE-0E3DAE67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Agronomia</dc:creator>
  <cp:keywords/>
  <cp:lastModifiedBy>Agronomia</cp:lastModifiedBy>
  <cp:revision>3</cp:revision>
  <cp:lastPrinted>2016-11-25T16:00:00Z</cp:lastPrinted>
  <dcterms:created xsi:type="dcterms:W3CDTF">2019-12-19T14:49:00Z</dcterms:created>
  <dcterms:modified xsi:type="dcterms:W3CDTF">2019-12-23T17:44:00Z</dcterms:modified>
</cp:coreProperties>
</file>